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F0F" w:rsidRDefault="006833A2" w:rsidP="006833A2">
      <w:pPr>
        <w:pStyle w:val="1"/>
        <w:rPr>
          <w:lang w:val="ru-RU"/>
        </w:rPr>
      </w:pPr>
      <w:r w:rsidRPr="006833A2">
        <w:rPr>
          <w:lang w:val="ru-RU"/>
        </w:rPr>
        <w:t>Инструменты денежно-кредитной политики Центрального банка</w:t>
      </w:r>
    </w:p>
    <w:p w:rsidR="006833A2" w:rsidRPr="006833A2" w:rsidRDefault="006833A2" w:rsidP="006833A2">
      <w:pPr>
        <w:rPr>
          <w:lang w:val="ru-RU"/>
        </w:rPr>
      </w:pPr>
      <w:bookmarkStart w:id="0" w:name="_GoBack"/>
      <w:r w:rsidRPr="006833A2">
        <w:rPr>
          <w:lang w:val="ru-RU"/>
        </w:rPr>
        <w:t>Центральные банки отвечают за управление денежной массой в стране, а их основной инструмент денежно-кредитной политики называется количественным. Этот инструмент включает в себя различные инструменты, такие как операции на открытом рынке, регулирование банковской системы, резервные требования, учетные ставки или корректировка процентных ставок. Все эти инструменты могут использоваться для изменения количества и качества денег в обращении с целью поддержания стабильности цен и достижения таких экономических целей, как полная занятость.</w:t>
      </w:r>
    </w:p>
    <w:p w:rsidR="006833A2" w:rsidRPr="006833A2" w:rsidRDefault="006833A2" w:rsidP="006833A2">
      <w:pPr>
        <w:rPr>
          <w:lang w:val="ru-RU"/>
        </w:rPr>
      </w:pPr>
      <w:r w:rsidRPr="006833A2">
        <w:rPr>
          <w:lang w:val="ru-RU"/>
        </w:rPr>
        <w:t>Одним из инструментов воздействия Центрального банка на денежную массу являются операции на открытом рынке (ОВР). Они позволяют покупать и продавать государственные ценные бумаги, включая казначейские векселя и облигации, корпоративные облигации и другие ценные бумаги за свой счет. Покупка большого количества этих ценных бумаг позволяет вводить средства в оборот, повышая ликвидность на финансовых рынках, стимулируя кредитование различных секторов экономики и снижая стоимость заимствований для населения и предприятий. И наоборот, продажа этих же ценных бумаг приводит к снижению ликвидности, сокращая объем средств, доступных для кредитования.</w:t>
      </w:r>
    </w:p>
    <w:p w:rsidR="006833A2" w:rsidRPr="006833A2" w:rsidRDefault="006833A2" w:rsidP="006833A2">
      <w:pPr>
        <w:rPr>
          <w:lang w:val="ru-RU"/>
        </w:rPr>
      </w:pPr>
      <w:r w:rsidRPr="006833A2">
        <w:rPr>
          <w:lang w:val="ru-RU"/>
        </w:rPr>
        <w:t>Другим количественным инструментом центральных банков является влияние на краткосрочные процентные ставки путем установления учетных ставок или корректировки основных базовых процентных ставок, таких как ставка по федеральным фондам, устанавливаемая Федеральным резервным банком США. Цель состоит в том, чтобы создать условия, которые либо поощряют, либо препятствуют заимствованиям, устанавливая соответствующие более высокие или низкие ставки по сравнению со ставками по долгосрочным кредитам, таким как ипотека или коммерческие кредиты. Понижение ставки по федеральным фондам способствует тому, что люди легче берут кредиты, освобождая капитал для инвестиций, в то время как повышение ставки имеет обратный эффект — потребителям становится труднее брать кредиты, что позволяет банкам делать больше инвестиций, не опасаясь, что новые требования по кредитам исчерпают их резервы капитала.</w:t>
      </w:r>
    </w:p>
    <w:p w:rsidR="006833A2" w:rsidRPr="006833A2" w:rsidRDefault="006833A2" w:rsidP="006833A2">
      <w:pPr>
        <w:rPr>
          <w:lang w:val="ru-RU"/>
        </w:rPr>
      </w:pPr>
      <w:r w:rsidRPr="006833A2">
        <w:rPr>
          <w:lang w:val="ru-RU"/>
        </w:rPr>
        <w:t>В-третьих, центральные банки могут изменять резервные требования, предъявляемые к банкам-участникам,</w:t>
      </w:r>
      <w:r>
        <w:rPr>
          <w:lang w:val="ru-RU"/>
        </w:rPr>
        <w:t xml:space="preserve"> </w:t>
      </w:r>
      <w:r w:rsidRPr="006833A2">
        <w:rPr>
          <w:lang w:val="ru-RU"/>
        </w:rPr>
        <w:t>— это сумма, которую они обязаны хранить в банке в любой момент времени, прежде чем выдать излишек средств, чтобы не стать неплатежеспособными во время кризиса ликвидности, когда не поступают новые вклады из-за недоверия населения к финансовым институтам или других рыночных потрясений, не связанных с самой банковской динамикой. Когда резервные требования снижаются, то меньше денег хранится в центральном банке, что позволяет увеличить их оборот, что ведет к росту расходов, что опять же имеет положительные последствия, такие как стимулирование роста занятости и т. д. Напротив, повышение требований означает, что у учреждений будет меньше наличных денег в кассе, т. е. сжимающий эффект, препятствующий созданию кредитов.</w:t>
      </w:r>
    </w:p>
    <w:p w:rsidR="006833A2" w:rsidRPr="006833A2" w:rsidRDefault="006833A2" w:rsidP="006833A2">
      <w:pPr>
        <w:rPr>
          <w:lang w:val="ru-RU"/>
        </w:rPr>
      </w:pPr>
      <w:r w:rsidRPr="006833A2">
        <w:rPr>
          <w:lang w:val="ru-RU"/>
        </w:rPr>
        <w:t>Наконец, центральные банки также проводят политику, направленную на регулирование размера, структуры деятельности, объема услуг, предоставляемых коммерческим частным сектором, таких как обработка платежей, клиринг операций, предоставление кредитов, выдача кредитных карт, эксплуатация банкоматов, сбор депозитов и т. д. Важно отметить, что центральный банк оказывает косвенное прямое влияние, т. е. он только издает инструкции по надзору, но не предоставляет услуги сам.</w:t>
      </w:r>
    </w:p>
    <w:p w:rsidR="006833A2" w:rsidRPr="006833A2" w:rsidRDefault="006833A2" w:rsidP="006833A2">
      <w:pPr>
        <w:rPr>
          <w:lang w:val="ru-RU"/>
        </w:rPr>
      </w:pPr>
      <w:r w:rsidRPr="006833A2">
        <w:rPr>
          <w:lang w:val="ru-RU"/>
        </w:rPr>
        <w:t xml:space="preserve">В заключение следует отметить, что такие инструменты денежно-кредитной политики, как операции на открытом рынке, изменение резервных требований, установление базовых процентных ставок, </w:t>
      </w:r>
      <w:r w:rsidRPr="006833A2">
        <w:rPr>
          <w:lang w:val="ru-RU"/>
        </w:rPr>
        <w:lastRenderedPageBreak/>
        <w:t>чаще всего используются центральными банками для поддержания стабильности цен, контроля инфляции, стимулирования экономического роста, содействия полной занятости. Конкретные действия, связанные с каждым отдельным механизмом, варьируются от прямого контроля до косвенного влияния на определенные аспекты структуры рынка, предоставления рекомендаций, правовой поддержки, создания институционального потенциала</w:t>
      </w:r>
      <w:r>
        <w:rPr>
          <w:lang w:val="ru-RU"/>
        </w:rPr>
        <w:t>.</w:t>
      </w:r>
      <w:bookmarkEnd w:id="0"/>
    </w:p>
    <w:sectPr w:rsidR="006833A2" w:rsidRPr="006833A2">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E5C"/>
    <w:rsid w:val="006833A2"/>
    <w:rsid w:val="00894E5C"/>
    <w:rsid w:val="00A85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E76BA"/>
  <w15:chartTrackingRefBased/>
  <w15:docId w15:val="{15130651-8039-4313-8939-6C1971160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833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33A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16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601</Words>
  <Characters>3429</Characters>
  <Application>Microsoft Office Word</Application>
  <DocSecurity>0</DocSecurity>
  <Lines>28</Lines>
  <Paragraphs>8</Paragraphs>
  <ScaleCrop>false</ScaleCrop>
  <Company>SPecialiST RePack</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3</cp:revision>
  <dcterms:created xsi:type="dcterms:W3CDTF">2023-08-05T09:44:00Z</dcterms:created>
  <dcterms:modified xsi:type="dcterms:W3CDTF">2023-08-05T09:46:00Z</dcterms:modified>
</cp:coreProperties>
</file>