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47" w:rsidRDefault="00755503" w:rsidP="00755503">
      <w:pPr>
        <w:pStyle w:val="1"/>
        <w:jc w:val="center"/>
      </w:pPr>
      <w:r w:rsidRPr="00755503">
        <w:t>Характеристика и структура российского хозяйства</w:t>
      </w:r>
    </w:p>
    <w:p w:rsidR="00755503" w:rsidRDefault="00755503" w:rsidP="00755503"/>
    <w:p w:rsidR="00755503" w:rsidRDefault="00755503" w:rsidP="00755503">
      <w:bookmarkStart w:id="0" w:name="_GoBack"/>
      <w:r>
        <w:t>Экономика России — одна из крупнейших и наиболее сложных в мире, обладающая целым рядом особенностей и структур. Основу экономики страны составляют природные ресурсы, полезные ископаемые и энергоносители, составляющие ее основной экспорт. Россия обладает богатыми природными ресурсами, но ее экономическая структура в значительной степени зависит от этих ресурсов для обеспечения роста и расширения производства.</w:t>
      </w:r>
    </w:p>
    <w:p w:rsidR="00755503" w:rsidRDefault="00755503" w:rsidP="00755503">
      <w:r>
        <w:t>Если рассматривать российскую экономику в процентном соотношении, то можно заметить, что услуги составляют более 50% валового внутреннего продукта (ВВП), в то время как на долю промышленности приходится меньшая часть (27%). В отличие от многих других развитых стран, где на промышленность приходится большая часть производства. Большинство отраслей промышленности страны связано с производством энергоносителей, таких как добыча нефти и газа, на долю которых приходится почти две трети всего российского экспорта. Кроме того, к числу основных составляющих относятся производство товаров обрабатывающей промышленности, включая фармацевтику и продукцию агропромышленного комплекса, а также современные секторы услуг, такие как финансовые услуги и телекоммуникации.</w:t>
      </w:r>
    </w:p>
    <w:p w:rsidR="00755503" w:rsidRDefault="00755503" w:rsidP="00755503">
      <w:r>
        <w:t>Благодаря большим запасам полезных ископаемых Россия имеет высокий уровень частной собственности по сравнению с некоторыми другими странами бывшего советского блока. Хотя многие предприятия остаются в государственной собственности, особенно в отраслях, связанных с добычей природных ресурсов, таких как нефть и газ, а также телекоммуникационные компании частично приватизированы, что позволяет частным фирмам занимать определенную долю рынка, но при этом они по-прежнему подвержены значительному государственному регулированию.</w:t>
      </w:r>
    </w:p>
    <w:p w:rsidR="00755503" w:rsidRDefault="00755503" w:rsidP="00755503">
      <w:r>
        <w:t>На международном уровне Россия ведет активную торговлю со странами Евразийского экономического союза, такими как Беларусь, Казахстан, Армения и др. В основном эти отношения связаны с поставками сырья, экспортируемого из России, и потребительских товаров, импортируемых в страну из стран ЕАЭС, что способствует дальнейшей финансовой диверсификации экономики страны, не зависящей только от добычи ресурсов.</w:t>
      </w:r>
    </w:p>
    <w:p w:rsidR="00755503" w:rsidRDefault="00755503" w:rsidP="00755503">
      <w:r>
        <w:t>Что касается денежно-кредитной политики, то в связи с разгулом инфляции после реструктуризации в 1990-х гг. в стране была принята временная привязка курса национальной валюты к доллару США, которая затем была повышена, но быстро дестабилизировалась во время мирового кризиса 2008 г., что еще больше усугубило экономические проблемы и в конечном итоге привело к снижению ВВП, что привело к проведению многочисленных реформ для стабилизации ситуации, которые были в основном успешными при введении новой фискальной политики, ужесточающей расходы.</w:t>
      </w:r>
    </w:p>
    <w:p w:rsidR="00755503" w:rsidRPr="00755503" w:rsidRDefault="00755503" w:rsidP="00755503">
      <w:r>
        <w:t>Общая структурная структура наряду с обширными запасами полезных ископаемых обеспечивает сильную платформу для экономического развития Комбинация изменений в политике обеспечивает потенциал, увеличивающий перспективы роста В частности, китайский бизнес увеличил вовлеченность в выбор потенциальных российских партнеров, что предполагает более светлую картину будущего В целом российская экономика многообещающая, но также требует пристального внимания как внутри страны, так и за ее пределами, что поможет увеличить потенциал, который будет наиболее выгоден для обеих сторон соответствующих отношений</w:t>
      </w:r>
      <w:r>
        <w:t>.</w:t>
      </w:r>
      <w:bookmarkEnd w:id="0"/>
    </w:p>
    <w:sectPr w:rsidR="00755503" w:rsidRPr="0075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47"/>
    <w:rsid w:val="00755503"/>
    <w:rsid w:val="00C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0D1F"/>
  <w15:chartTrackingRefBased/>
  <w15:docId w15:val="{1F949D14-0016-428A-938D-E9D50DCF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2023-09-01T14:57:00Z</dcterms:created>
  <dcterms:modified xsi:type="dcterms:W3CDTF">2023-09-01T14:58:00Z</dcterms:modified>
</cp:coreProperties>
</file>