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D0" w:rsidRDefault="00AC261A" w:rsidP="00AC261A">
      <w:pPr>
        <w:pStyle w:val="1"/>
        <w:jc w:val="center"/>
      </w:pPr>
      <w:r w:rsidRPr="00AC261A">
        <w:t>Макроэкономика Испании</w:t>
      </w:r>
    </w:p>
    <w:p w:rsidR="00AC261A" w:rsidRDefault="00AC261A" w:rsidP="00AC261A"/>
    <w:p w:rsidR="00AC261A" w:rsidRDefault="00AC261A" w:rsidP="00AC261A">
      <w:bookmarkStart w:id="0" w:name="_GoBack"/>
      <w:r>
        <w:t>Экономика Испании уже давно представляет большой интерес в мире макроэкономики. Благодаря своему географическому положению и богатой культуре она стала известна как экономическая держава во всей Европе, Средиземноморье и за ее пределами.</w:t>
      </w:r>
    </w:p>
    <w:p w:rsidR="00AC261A" w:rsidRDefault="00AC261A" w:rsidP="00AC261A">
      <w:r>
        <w:t xml:space="preserve">Для того чтобы понять макроэкономику Испании, необходимо, прежде всего, рассмотреть ее финансы. По данным </w:t>
      </w:r>
      <w:proofErr w:type="spellStart"/>
      <w:r>
        <w:t>Евростата</w:t>
      </w:r>
      <w:proofErr w:type="spellEnd"/>
      <w:r>
        <w:t>, ВВП Испании в 2019 году составил около 1,44 трлн. евро (примерно 1,72 трлн. долл. США), что позволило ей занять 14-е место в Европейском союзе и 5-е место по ВВП на душу населения (28% от ВВП). Кроме того, государственные расходы составляют почти 44% от общего объема ВВП, а расходы на социальную защиту населения — около 15%.</w:t>
      </w:r>
    </w:p>
    <w:p w:rsidR="00AC261A" w:rsidRDefault="00AC261A" w:rsidP="00AC261A">
      <w:r>
        <w:t xml:space="preserve">Инфляция также является ключевым компонентом макроэкономических перспектив Испании: в период с 2006 по 2018 год инфляция составляла в среднем 1%, что примерно на 0,4 процентного пункта ниже среднего уровня инфляции в еврозоне; однако в 2019–2020 годах она немного превысила 1% из-за роста цен на импортируемые энергоносители и увеличения стоимости рабочей силы, вызванного ростом заработной платы после проведения налоговой реформы под руководством Социалистической партии (по данным </w:t>
      </w:r>
      <w:proofErr w:type="spellStart"/>
      <w:r>
        <w:t>Banco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España</w:t>
      </w:r>
      <w:proofErr w:type="spellEnd"/>
      <w:r>
        <w:t>).</w:t>
      </w:r>
    </w:p>
    <w:p w:rsidR="00AC261A" w:rsidRDefault="00AC261A" w:rsidP="00AC261A">
      <w:r>
        <w:t>В перспективе 2020–2021 гг. на инфляцию будет оказывать дальнейшее давление снижение внешнего спроса, вызванное пандемией и экономическими трудностями международных торговых партнеров; однако при благоприятной денежно-кредитной политике центральных банков Европы среднесрочные макроэкономические показатели Испании в целом остаются положительными.</w:t>
      </w:r>
    </w:p>
    <w:p w:rsidR="00AC261A" w:rsidRDefault="00AC261A" w:rsidP="00AC261A">
      <w:r>
        <w:t xml:space="preserve">С другой стороны, уровень безработицы снижается с 2013 г. (составляя 14% населения Испании) и, согласно данным ОЭСР и EL PAIS, к концу 2020 г. составит более 10% в годовом исчислении. Это свидетельствует о реформах рынка труда, проведенных при бывшем правоцентристском премьер-министре </w:t>
      </w:r>
      <w:proofErr w:type="spellStart"/>
      <w:r>
        <w:t>Мариано</w:t>
      </w:r>
      <w:proofErr w:type="spellEnd"/>
      <w:r>
        <w:t xml:space="preserve"> </w:t>
      </w:r>
      <w:proofErr w:type="spellStart"/>
      <w:r>
        <w:t>Рахое</w:t>
      </w:r>
      <w:proofErr w:type="spellEnd"/>
      <w:r>
        <w:t>, который наряду с другими мерами (например, ограничением заработной платы) уделял особое внимание инициативам по обучению рабочим специальностям.</w:t>
      </w:r>
      <w:r>
        <w:t xml:space="preserve"> </w:t>
      </w:r>
      <w:r>
        <w:t xml:space="preserve">Однако усилия, предпринятые после прихода к власти социалистического правительства Педро Санчеса, направлены на стимулирование создания рабочих мест с помощью таких программ, как транспортные планы с нулевым уровнем выбросов, предлагающих государственное финансирование инвестиций в новые зеленые инфраструктурные технологии, что должно помочь диверсифицировать существующие отрасли внутреннего производства в пользу более </w:t>
      </w:r>
      <w:proofErr w:type="spellStart"/>
      <w:r>
        <w:t>экологичных</w:t>
      </w:r>
      <w:proofErr w:type="spellEnd"/>
      <w:r>
        <w:t xml:space="preserve"> рынков и одновременно создать большое количество рабочих мест.</w:t>
      </w:r>
    </w:p>
    <w:p w:rsidR="00AC261A" w:rsidRPr="00AC261A" w:rsidRDefault="00AC261A" w:rsidP="00AC261A">
      <w:r>
        <w:t xml:space="preserve">Наконец, государственный долг составляет около 100 процентов от валового внутреннего продукта (ВВП), по данным Банка Испании, и остается одним из самых высоких относительных уровней в регионе еврозоны — при сохранении, тем не менее, нормального потенциала платежеспособности, но благоприятные процентные ставки во время ослабления финансовых рынков в прошлом году могут способствовать дальнейшему снижению долговой нагрузки. Мы сохраняем оптимизм в отношении того, что при тщательном управлении Испания останется финансовым </w:t>
      </w:r>
      <w:r>
        <w:t>лидером в Европе на долгие годы.</w:t>
      </w:r>
      <w:bookmarkEnd w:id="0"/>
    </w:p>
    <w:sectPr w:rsidR="00AC261A" w:rsidRPr="00AC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D0"/>
    <w:rsid w:val="002726D0"/>
    <w:rsid w:val="00A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396E"/>
  <w15:chartTrackingRefBased/>
  <w15:docId w15:val="{FC659CEE-ACDA-417D-B542-175A89EF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6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2023-09-02T18:21:00Z</dcterms:created>
  <dcterms:modified xsi:type="dcterms:W3CDTF">2023-09-02T18:22:00Z</dcterms:modified>
</cp:coreProperties>
</file>