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EDF" w:rsidRDefault="00AA6515" w:rsidP="00AA6515">
      <w:pPr>
        <w:pStyle w:val="1"/>
        <w:jc w:val="center"/>
      </w:pPr>
      <w:r w:rsidRPr="00AA6515">
        <w:t>Межгосударственное регулирование международных государственных долгов</w:t>
      </w:r>
    </w:p>
    <w:p w:rsidR="00AA6515" w:rsidRDefault="00AA6515" w:rsidP="00AA6515"/>
    <w:p w:rsidR="00AA6515" w:rsidRDefault="00AA6515" w:rsidP="00AA6515">
      <w:bookmarkStart w:id="0" w:name="_GoBack"/>
      <w:r>
        <w:t>Тема межгосударственного регулирования международных государственных долгов приобретает все большее значение в последние несколько десятилетий в связи с постоянно меняющейся мировой экономикой. В данной статье мы попытаемся рассмотреть некоторые способы регулирования межгосударственного кредитования и заимствования как между собой, так и между другими странами.</w:t>
      </w:r>
    </w:p>
    <w:p w:rsidR="00AA6515" w:rsidRDefault="00AA6515" w:rsidP="00AA6515">
      <w:r>
        <w:t>Концепция межгосударственного регулирования уходит своими корнями в экономическую теорию, которая занимается изучением того, как политика влияет на эффективность рынка и экономический рост. Регулирование позволяет гарантировать, что заимствования и кредиты не приведут к безрассудному или чрезмерному росту задолженности, который может нанести ущерб как странам, так и экономике в международном масштабе. Таким образом, для регулирования кредитной деятельности между странами разработчики политики могут использовать различные инструменты, такие как налогообложение, лимиты заимствований, гарантии по кредитам и пакеты финансовой помощи.</w:t>
      </w:r>
    </w:p>
    <w:p w:rsidR="00AA6515" w:rsidRDefault="00AA6515" w:rsidP="00AA6515">
      <w:r>
        <w:t>Что касается налогообложения, то многие государства внедрили системы налогообложения, которые ограничивают возможности держателей иностранных долговых обязательств пользоваться законами и льготами своих стран. Например, в некоторых странах отечественные кредиторы имеют право вычитать из налогооблагаемого дохода убытки, понесенные в связи с иностранным долгом, в то время как иностранные держатели долговых обязательств не могут воспользоваться подобными вычетами. Кроме того, налоговые соглашения могут ограничивать некоторые формы международного финансирования, ограничивая сумму, которую заемщик может взять в долг, не облагая ее налогом по ставке, превышающей ту, которую он обычно платит в своей стране.</w:t>
      </w:r>
    </w:p>
    <w:p w:rsidR="00AA6515" w:rsidRDefault="00AA6515" w:rsidP="00AA6515">
      <w:r>
        <w:t>Другой формой межгосударственного регулирования является ограничение доступа стран к рынкам капитала путем установления лимитов на заимствования для отдельных стран или регионов на основе макроэкономических факторов, таких как уровень инфляции или уровень государственного долга. Гарантии по кредитам также используются для того, чтобы государство поддерживало кредиты, предоставляемые частными кредиторами, которые в противном случае не смогли бы или не захотели бы это сделать из-за отсутствия уверенности в способности заемщика погасить кредит в срок и/или в полном объеме в силу неопределенных макроэкономических обстоятельств, складывающихся в каждый конкретный момент времени в течение срока действия конкретного кредитного соглашения (соглашений). Это позволяет использовать более гибкие финансовые инструменты, такие как прямые инвестиционные отношения с другими странами или организациями ADBI (</w:t>
      </w:r>
      <w:proofErr w:type="spellStart"/>
      <w:r>
        <w:t>Asian</w:t>
      </w:r>
      <w:proofErr w:type="spellEnd"/>
      <w:r>
        <w:t xml:space="preserve"> </w:t>
      </w:r>
      <w:proofErr w:type="spellStart"/>
      <w:r>
        <w:t>Development</w:t>
      </w:r>
      <w:proofErr w:type="spellEnd"/>
      <w:r>
        <w:t xml:space="preserve"> </w:t>
      </w:r>
      <w:proofErr w:type="spellStart"/>
      <w:r>
        <w:t>Bank</w:t>
      </w:r>
      <w:proofErr w:type="spellEnd"/>
      <w:r>
        <w:t xml:space="preserve"> </w:t>
      </w:r>
      <w:proofErr w:type="spellStart"/>
      <w:r>
        <w:t>Investing</w:t>
      </w:r>
      <w:proofErr w:type="spellEnd"/>
      <w:r>
        <w:t>) и т. д., чем это возможно при традиционных банковских условиях, что открывает больше возможностей для развития соответствующих отраслей; позволяет малому и крупному бизнесу в различных секторах — разумеется, только при выполнении заранее определенных условий — поддерживать / развиват</w:t>
      </w:r>
      <w:r>
        <w:t>ь и т. д.</w:t>
      </w:r>
      <w:r>
        <w:t xml:space="preserve"> позитивные / устойчивые пути прибыльности, которые могут регулярно возвращаться через стратегии реинвестирования в различные соответствующие экономики, принося им аналогичную</w:t>
      </w:r>
      <w:r>
        <w:t xml:space="preserve"> долгосрочную пользу (особенно </w:t>
      </w:r>
      <w:r>
        <w:rPr>
          <w:lang w:val="en-US"/>
        </w:rPr>
        <w:t>E</w:t>
      </w:r>
      <w:r>
        <w:t>READY).</w:t>
      </w:r>
    </w:p>
    <w:p w:rsidR="00AA6515" w:rsidRDefault="00AA6515" w:rsidP="00AA6515">
      <w:r>
        <w:t>Пакеты финансовой помощи (ПФП) — еще один способ экономического стимулирования правительством трансграничных инвесторов и поставщиков, позволяющий разделить риски в рамках торговых соглашений и т. д.; такие ПФП обычно содержат выгодные положения —</w:t>
      </w:r>
      <w:r>
        <w:lastRenderedPageBreak/>
        <w:t>налоговые льготы, гранты и субсидии, связанные с инвестициями, такими как закупка оборудования, материалов и т. д.; все эти меры стимулирования ведут к повышению шансов прибыльных предприятий, что в конечном итоге также приводит к положит</w:t>
      </w:r>
      <w:r>
        <w:t>ельному социальному воздействию.</w:t>
      </w:r>
      <w:r>
        <w:t xml:space="preserve"> Такие пакеты помощи сопровождаются разъяснениями по поводу снижения потенциальных рисков, возникающих при вхождении в новые структуры собственности, т. е. прямых иностранных инвестиций (ПИИ). Все это в совокупности в рамках созданной структуры фактически стимулирует более ответственные инвестиции со стороны инвесторов, заинтересованных в получении прибыли за рубежом, в результате чего «фонды развития» в конечном итоге возвращаются в участвующие экономики, где их использование помогает наиболее эффективно использовать потенциал экономического роста, а также устанавливает различные модели устойчивого развития в зависимости от окружающего их контекста: Модель устойчивого развития на уровне компании в целом охватывает практику корпоративной социальной ответственности (КСО), но есть и тонкие различия в зависимости от заинтересованных сторон, ключевым элементом которых являются регулярно публикуемые отчеты об устойчивом развитии, раскрывающие детали операций, проводимых каждой компанией, значительные из которых включены в список «индексов прозрачности», регулярно публикуемых «Индексами прозрачности Форума деловой этики»; Отраслевые модели устойчивого развития, построенные на соблюдении ко</w:t>
      </w:r>
      <w:r>
        <w:t xml:space="preserve">нкретных отраслевых стандартов </w:t>
      </w:r>
      <w:r>
        <w:rPr>
          <w:lang w:val="en-US"/>
        </w:rPr>
        <w:t>E</w:t>
      </w:r>
      <w:r>
        <w:t xml:space="preserve">SET, означающих экологические социальные технологические стандарты, но недавно примененные, включая новый, основанный на безбумажных фабриках: Наконец, глобальная модель устойчивости, охватывающая основные факторы, влияющие на жизнеобеспечение населения планеты в каждый конкретный момент времени, универсально применима. Этот тип обеспечивает более глубокое понимание огромного количества аспектов, требующих учета при реализации планов с участием множества сторон, независимо от географического расположения, ограничения наблюдаются за месяцы и даже годы до начала реализации, что опять же предоставляет еще большие возможности для дальнейшей оптимизации </w:t>
      </w:r>
      <w:r>
        <w:t>процессов на уровне государства.</w:t>
      </w:r>
    </w:p>
    <w:p w:rsidR="00AA6515" w:rsidRPr="00AA6515" w:rsidRDefault="00AA6515" w:rsidP="00AA6515">
      <w:r>
        <w:t>На глобальном уровне политикам следует искать пути взаимодействия и координировать подходы к регулированию международного государственного финансирования, направленные на повышение стабильности рынка и экономического роста, а также на повышение ответственности как кредиторов, так и заемщиков, чтобы все выигрывали от ответственной практики кредитования, способствующей устойчивому развитию стран, а не от безрассудства, вызванного жадностью. В конечном счете, правительствам и политикам важно помнить, что регулирование межгосударственного государственного финансирования выходит за рамки не только фискальных целей, но и общественных интересов — достаточно взглянуть на недавний кризис 2021 года, ставший свидетелем беспрецедентных по масштабам событий, чтобы понять важность принятия мер независимо от размера экономики, даже если кажущееся далеким событие может иметь последствия, ощущаемые ближе к дому, чем можно</w:t>
      </w:r>
      <w:r>
        <w:t xml:space="preserve"> себе представить.</w:t>
      </w:r>
      <w:bookmarkEnd w:id="0"/>
    </w:p>
    <w:sectPr w:rsidR="00AA6515" w:rsidRPr="00AA65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DF"/>
    <w:rsid w:val="00AA6515"/>
    <w:rsid w:val="00F23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3D58E"/>
  <w15:chartTrackingRefBased/>
  <w15:docId w15:val="{EFC4C42E-913B-4F15-B69D-DF821A91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A65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651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986</Words>
  <Characters>5621</Characters>
  <Application>Microsoft Office Word</Application>
  <DocSecurity>0</DocSecurity>
  <Lines>46</Lines>
  <Paragraphs>13</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2023-09-05T09:50:00Z</dcterms:created>
  <dcterms:modified xsi:type="dcterms:W3CDTF">2023-09-05T09:52:00Z</dcterms:modified>
</cp:coreProperties>
</file>