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001" w:rsidRDefault="00AE6F26" w:rsidP="00AE6F26">
      <w:pPr>
        <w:pStyle w:val="1"/>
        <w:jc w:val="center"/>
      </w:pPr>
      <w:r w:rsidRPr="00AE6F26">
        <w:t>Конституционное право зарубежных стран</w:t>
      </w:r>
      <w:r>
        <w:t>:</w:t>
      </w:r>
      <w:r w:rsidRPr="00AE6F26">
        <w:t xml:space="preserve"> опыт для России</w:t>
      </w:r>
    </w:p>
    <w:p w:rsidR="00AE6F26" w:rsidRDefault="00AE6F26" w:rsidP="00AE6F26"/>
    <w:p w:rsidR="00AE6F26" w:rsidRDefault="00AE6F26" w:rsidP="00AE6F26">
      <w:bookmarkStart w:id="0" w:name="_GoBack"/>
      <w:r>
        <w:t>Конституционное право зарубежных стран представляет собой важный источник для анализа и возможной адаптации опыта в правовую систему Российской Федерации. Различные страны мира предлагают уникальные подходы к организации государственной власти, регулированию прав и свобод граждан, а также к механизмам конституционного контроля. Изучение и сопоставление этих подходов позволяет выявлять как положительные тенденции, так и потенциальные риски их пр</w:t>
      </w:r>
      <w:r>
        <w:t>именения в российских условиях.</w:t>
      </w:r>
    </w:p>
    <w:p w:rsidR="00AE6F26" w:rsidRDefault="00AE6F26" w:rsidP="00AE6F26">
      <w:r>
        <w:t xml:space="preserve">Один из интересных примеров для России – конституционное устройство Германии, основанное на принципах федерализма и социального государства, где важное место занимает </w:t>
      </w:r>
      <w:proofErr w:type="spellStart"/>
      <w:r>
        <w:t>Бундесверфассунгсгерихт</w:t>
      </w:r>
      <w:proofErr w:type="spellEnd"/>
      <w:r>
        <w:t xml:space="preserve"> (Федеральный Конституционный Суд), играющий ключевую роль в системе сдержек и противовесов. Опыт этой страны может быть полезен при дальнейшем развитии системы конституцион</w:t>
      </w:r>
      <w:r>
        <w:t>ного судопроизводства в России.</w:t>
      </w:r>
    </w:p>
    <w:p w:rsidR="00AE6F26" w:rsidRDefault="00AE6F26" w:rsidP="00AE6F26">
      <w:r>
        <w:t xml:space="preserve">Не менее важен опыт США, где конституционное право ориентировано на строгую разделение властей и широкую практику судебного контроля за конституционностью законов. Верховный Суд США имеет значительные полномочия по окончательной интерпретации Конституции, что делает его крайне влиятельным органом в политической системе страны. Это подчёркивает важность судебной ветви власти в защите конституционных прав граждан, </w:t>
      </w:r>
      <w:r>
        <w:t>что также актуально для России.</w:t>
      </w:r>
    </w:p>
    <w:p w:rsidR="00AE6F26" w:rsidRDefault="00AE6F26" w:rsidP="00AE6F26">
      <w:r>
        <w:t>Франция демонстрирует интересную модель полу-президентской республики, где президент и премьер-министр разделяют исполнительную власть. Французский Конституционный совет, хоть и не является судом в полном смысле этого слова, обладает значительными полномочиями по контролю за соблюдением конституции. Особенностью является возможность предварительной проверки законопроекто</w:t>
      </w:r>
      <w:r>
        <w:t>в до их подписания президентом.</w:t>
      </w:r>
    </w:p>
    <w:p w:rsidR="00AE6F26" w:rsidRDefault="00AE6F26" w:rsidP="00AE6F26">
      <w:r>
        <w:t>Скандинавские страны, такие как Швеция и Норвегия, примечательны высоким уровнем правовой защиты и социальных гарантий граждан. Они предлагают модель социального благополучия, при которой обеспечивается высокий уровень реализации э</w:t>
      </w:r>
      <w:r>
        <w:t>кономических и социальных прав</w:t>
      </w:r>
    </w:p>
    <w:p w:rsidR="00AE6F26" w:rsidRDefault="00AE6F26" w:rsidP="00AE6F26">
      <w:r>
        <w:t>Изучение конституционного права зарубежных стран позволяет России брать лучшее из мировой практики, адаптировать полезные инновации к собственным реалиям и тем самым усиливать защиту прав и свобод граждан. Однако важно учитывать специфику российской правовой, исторической и культурной традиции, чтобы любые заимствован</w:t>
      </w:r>
      <w:r>
        <w:t>ия эффективно работали на благо</w:t>
      </w:r>
      <w:r>
        <w:t xml:space="preserve"> развития конституционной системы Российской Федерации.</w:t>
      </w:r>
    </w:p>
    <w:p w:rsidR="00AE6F26" w:rsidRDefault="00AE6F26" w:rsidP="00AE6F26">
      <w:r>
        <w:t>Примеры изучения конституционного права зарубежных стран показывают, что эффективность конституционной системы в значительной мере зависит от правовой культуры общества, от устоявшихся демократических традиций и от степени доверия населения к институтам власти. Например, страны с развитой демократией, такие как Великобритания, не имеющая единого кодифицированного конституционного документа, демонстрируют высокую степень защиты прав и свобод на основе принципа верховенства права и</w:t>
      </w:r>
      <w:r>
        <w:t xml:space="preserve"> устойчивой судебной практики. </w:t>
      </w:r>
    </w:p>
    <w:p w:rsidR="00AE6F26" w:rsidRDefault="00AE6F26" w:rsidP="00AE6F26">
      <w:r>
        <w:t>Швейцария с её механизмами прямой демократии, включая часто используемый инструмент референдума, показывает, как народное участие может укреплять конституционность и легитимность государственного управления. Элементы прямой демократии могли бы найти своё применение и в Российской Федерации, усиливая прямую</w:t>
      </w:r>
      <w:r>
        <w:t xml:space="preserve"> связь между народом и властью.</w:t>
      </w:r>
    </w:p>
    <w:p w:rsidR="00AE6F26" w:rsidRDefault="00AE6F26" w:rsidP="00AE6F26">
      <w:r>
        <w:t xml:space="preserve">Необходимо также упомянуть опыт стран с переходной экономикой и молодыми демократиями, где конституционные реформы и изменения являются частым явлением. Такие страны сталкиваются с рядом проблем в области утверждения конституционных норм и гарантий, что </w:t>
      </w:r>
      <w:r>
        <w:lastRenderedPageBreak/>
        <w:t>предоставляет России возможность изучить и предвидеть подобные сложности на собст</w:t>
      </w:r>
      <w:r>
        <w:t>венном пути правового развития.</w:t>
      </w:r>
    </w:p>
    <w:p w:rsidR="00AE6F26" w:rsidRDefault="00AE6F26" w:rsidP="00AE6F26">
      <w:r>
        <w:t>Следует также обратить внимание на опыт стран, применяющих механизмы конституционной жалобы, которая позволяет обычным гражданам обращаться непосредственно в конституционные суды по поводу нарушений их конституционных прав. Такой механизм может быть интересен для России с точки зрения повышения доступности и эффективн</w:t>
      </w:r>
      <w:r>
        <w:t>ости конституционного контроля.</w:t>
      </w:r>
    </w:p>
    <w:p w:rsidR="00AE6F26" w:rsidRPr="00AE6F26" w:rsidRDefault="00AE6F26" w:rsidP="00AE6F26">
      <w:r>
        <w:t>В заключение, анализируя конституционное право зарубежных стран, Россия может обогатить свою правовую систему, учитывая при этом необходимость уважения к собственным историческим, культурным и социально-экономическим условиям. Изучение международного опыта способствует не только повышению эффективности конституционной системы, но и развитию общественного диалога о конституционных ценностях, укреплению государственности и поддержанию демократических начал в Российской Федерации.</w:t>
      </w:r>
      <w:bookmarkEnd w:id="0"/>
    </w:p>
    <w:sectPr w:rsidR="00AE6F26" w:rsidRPr="00AE6F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001"/>
    <w:rsid w:val="00240001"/>
    <w:rsid w:val="00AE6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150C9"/>
  <w15:chartTrackingRefBased/>
  <w15:docId w15:val="{D545E67E-4694-46B4-ABBC-C9E22EF7D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E6F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6F2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672</Words>
  <Characters>3837</Characters>
  <Application>Microsoft Office Word</Application>
  <DocSecurity>0</DocSecurity>
  <Lines>31</Lines>
  <Paragraphs>8</Paragraphs>
  <ScaleCrop>false</ScaleCrop>
  <Company/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2023-11-05T18:15:00Z</dcterms:created>
  <dcterms:modified xsi:type="dcterms:W3CDTF">2023-11-05T18:17:00Z</dcterms:modified>
</cp:coreProperties>
</file>