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76D" w:rsidRDefault="00C848CE" w:rsidP="00C848CE">
      <w:pPr>
        <w:pStyle w:val="1"/>
        <w:jc w:val="center"/>
      </w:pPr>
      <w:r w:rsidRPr="00C848CE">
        <w:t>Валютное законодательство и его роль в регулировании международных финансовых институтов</w:t>
      </w:r>
    </w:p>
    <w:p w:rsidR="00C848CE" w:rsidRDefault="00C848CE" w:rsidP="00C848CE"/>
    <w:p w:rsidR="00C848CE" w:rsidRDefault="00C848CE" w:rsidP="00C848CE">
      <w:bookmarkStart w:id="0" w:name="_GoBack"/>
      <w:r>
        <w:t xml:space="preserve">Валютное право представляет собой совокупность нормативных актов, регулирующих вопросы обращения и использования валюты в стране, а также взаимодействие с валютой других государств. Валютное законодательство является важной составляющей правовой системы государства, поскольку оно определяет порядок проведения валютных операций, контроля за их соблюдением, а также ответственность за </w:t>
      </w:r>
      <w:r>
        <w:t>нарушение установленных правил.</w:t>
      </w:r>
    </w:p>
    <w:p w:rsidR="00C848CE" w:rsidRDefault="00C848CE" w:rsidP="00C848CE">
      <w:r>
        <w:t>Роль валютного законодательства в регулировании международных финансовых институтов нельзя недооценивать. Во-первых, оно обеспечивает основу для ведения международных финансовых операций, определяя правила конвертации валюты, порядок осуществления платежей и т.д. Без ясного и надежного валютного законодательства международные финансовые институты не могли</w:t>
      </w:r>
      <w:r>
        <w:t xml:space="preserve"> бы функционировать эффективно.</w:t>
      </w:r>
    </w:p>
    <w:p w:rsidR="00C848CE" w:rsidRDefault="00C848CE" w:rsidP="00C848CE">
      <w:r>
        <w:t>Во-вторых, валютное право обеспечивает контроль за деятельностью международных финансовых институтов на территории государства. Это касается как финансовых организаций, так и крупных корпораций, осуществляющих внешнеэкономическую деятельность. Благодаря валютному законодательству государство может контролировать оборот валюты, предотвращать незаконные операции, а также защища</w:t>
      </w:r>
      <w:r>
        <w:t>ть свои экономические интересы.</w:t>
      </w:r>
    </w:p>
    <w:p w:rsidR="00C848CE" w:rsidRDefault="00C848CE" w:rsidP="00C848CE">
      <w:r>
        <w:t>Кроме того, валютное законодательство способствует регулированию и нормализации международных финансовых отношений. Оно определяет правила взаимодействия между государствами в финансовой сфере, обеспечивает защиту интересов страны в условиях мировой экономики. Таким образом, валютное право играет ключевую роль в обеспечении стабильности и развития международных финансовых институтов.</w:t>
      </w:r>
    </w:p>
    <w:p w:rsidR="00C848CE" w:rsidRDefault="00C848CE" w:rsidP="00C848CE">
      <w:r>
        <w:t>Кроме того, валютное право оказывает влияние на формирование валютной политики государства и его международной финансовой стратегии. Оно определяет правила валютного обмена, устанавливает курс валюты, регулирует валютные резервы и действия центрального банка. Таким образом, валютное законодательство в значительной мере формирует экономическое положение государства на международной арене и его способность управлят</w:t>
      </w:r>
      <w:r>
        <w:t>ь своими финансовыми ресурсами.</w:t>
      </w:r>
    </w:p>
    <w:p w:rsidR="00C848CE" w:rsidRDefault="00C848CE" w:rsidP="00C848CE">
      <w:r>
        <w:t>Одной из важных функций валютного законодательства является также обеспечение стабильности и надежности финансовой системы как внутри страны, так и на международном уровне. Законодательство устанавливает механизмы предотвращения кризисов, защиты интересов инвесторов и депозитариев, обеспечивает прозрачность и эфф</w:t>
      </w:r>
      <w:r>
        <w:t>ективность финансовых операций.</w:t>
      </w:r>
    </w:p>
    <w:p w:rsidR="00C848CE" w:rsidRPr="00C848CE" w:rsidRDefault="00C848CE" w:rsidP="00C848CE">
      <w:r>
        <w:t>Таким образом, валютное право не только регулирует отношения в сфере обращения валюты, но и оказывает значительное воздействие на функционирование международных финансовых институтов и мировую экономику в целом. Важно отметить, что в условиях быстрого развития мировых финансовых рынков и изменения экономических условий валютное законодательство должно постоянно совершенствоваться и адаптироваться к новым вызовам и требованиям.</w:t>
      </w:r>
      <w:bookmarkEnd w:id="0"/>
    </w:p>
    <w:sectPr w:rsidR="00C848CE" w:rsidRPr="00C84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6D"/>
    <w:rsid w:val="0002676D"/>
    <w:rsid w:val="00C8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30A73"/>
  <w15:chartTrackingRefBased/>
  <w15:docId w15:val="{F566F18E-B07C-432B-8C4C-0AEDCB8D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48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8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2024-03-15T17:04:00Z</dcterms:created>
  <dcterms:modified xsi:type="dcterms:W3CDTF">2024-03-15T17:06:00Z</dcterms:modified>
</cp:coreProperties>
</file>