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64C" w:rsidRDefault="00DC4855" w:rsidP="00DC4855">
      <w:pPr>
        <w:pStyle w:val="1"/>
        <w:jc w:val="center"/>
      </w:pPr>
      <w:r w:rsidRPr="00DC4855">
        <w:t>Сравнение кейнсианской и неоклассической экономической теории</w:t>
      </w:r>
    </w:p>
    <w:p w:rsidR="00DC4855" w:rsidRDefault="00DC4855" w:rsidP="00DC4855"/>
    <w:p w:rsidR="00DC4855" w:rsidRPr="00DC4855" w:rsidRDefault="00DC4855" w:rsidP="00DC4855">
      <w:pPr>
        <w:pStyle w:val="a3"/>
        <w:rPr>
          <w:rFonts w:asciiTheme="minorHAnsi" w:hAnsiTheme="minorHAnsi" w:cstheme="minorHAnsi"/>
        </w:rPr>
      </w:pPr>
      <w:bookmarkStart w:id="0" w:name="_GoBack"/>
      <w:r w:rsidRPr="00DC4855">
        <w:rPr>
          <w:rFonts w:asciiTheme="minorHAnsi" w:hAnsiTheme="minorHAnsi" w:cstheme="minorHAnsi"/>
        </w:rPr>
        <w:t>Кейнсианская и неоклассическая экономические теории представляют собой два крупных направления экономической мысли, во многом определяющих подходы к пониманию функционирования рыночной системы, роли государства и природы экономических колебаний. Их различия сформировались как реакция на практические проблемы и исторический контекст, а также под влиянием идейных споров об оптимальной модели экономической политики. В результате они задают разные рамки для анализа макроэкономических процессов и механизмов, отвечающих за формирование совокупного спроса и совокупного предложения.</w:t>
      </w:r>
    </w:p>
    <w:p w:rsidR="00DC4855" w:rsidRPr="00DC4855" w:rsidRDefault="00DC4855" w:rsidP="00DC4855">
      <w:pPr>
        <w:pStyle w:val="a3"/>
        <w:rPr>
          <w:rFonts w:asciiTheme="minorHAnsi" w:hAnsiTheme="minorHAnsi" w:cstheme="minorHAnsi"/>
        </w:rPr>
      </w:pPr>
      <w:r w:rsidRPr="00DC4855">
        <w:rPr>
          <w:rFonts w:asciiTheme="minorHAnsi" w:hAnsiTheme="minorHAnsi" w:cstheme="minorHAnsi"/>
        </w:rPr>
        <w:t xml:space="preserve">С точки зрения кейнсианской традиции, зародившейся во времена Великой депрессии, капитализм не всегда способен самостоятельно стабилизировать производство и занятость, особенно при резких экономических потрясениях. Джон </w:t>
      </w:r>
      <w:proofErr w:type="spellStart"/>
      <w:r w:rsidRPr="00DC4855">
        <w:rPr>
          <w:rFonts w:asciiTheme="minorHAnsi" w:hAnsiTheme="minorHAnsi" w:cstheme="minorHAnsi"/>
        </w:rPr>
        <w:t>Мейнард</w:t>
      </w:r>
      <w:proofErr w:type="spellEnd"/>
      <w:r w:rsidRPr="00DC4855">
        <w:rPr>
          <w:rFonts w:asciiTheme="minorHAnsi" w:hAnsiTheme="minorHAnsi" w:cstheme="minorHAnsi"/>
        </w:rPr>
        <w:t xml:space="preserve"> </w:t>
      </w:r>
      <w:proofErr w:type="spellStart"/>
      <w:r w:rsidRPr="00DC4855">
        <w:rPr>
          <w:rFonts w:asciiTheme="minorHAnsi" w:hAnsiTheme="minorHAnsi" w:cstheme="minorHAnsi"/>
        </w:rPr>
        <w:t>Кейнс</w:t>
      </w:r>
      <w:proofErr w:type="spellEnd"/>
      <w:r w:rsidRPr="00DC4855">
        <w:rPr>
          <w:rFonts w:asciiTheme="minorHAnsi" w:hAnsiTheme="minorHAnsi" w:cstheme="minorHAnsi"/>
        </w:rPr>
        <w:t xml:space="preserve"> утверждал, что совокупный спрос играет ключевую роль в определении объема выпуска, и именно нехватка спроса приводит к затяжным периодам безработицы. На этой основе </w:t>
      </w:r>
      <w:proofErr w:type="spellStart"/>
      <w:r w:rsidRPr="00DC4855">
        <w:rPr>
          <w:rFonts w:asciiTheme="minorHAnsi" w:hAnsiTheme="minorHAnsi" w:cstheme="minorHAnsi"/>
        </w:rPr>
        <w:t>кейнсианцы</w:t>
      </w:r>
      <w:proofErr w:type="spellEnd"/>
      <w:r w:rsidRPr="00DC4855">
        <w:rPr>
          <w:rFonts w:asciiTheme="minorHAnsi" w:hAnsiTheme="minorHAnsi" w:cstheme="minorHAnsi"/>
        </w:rPr>
        <w:t xml:space="preserve"> делают вывод о необходимости вмешательства государства в экономику для смягчения колебаний деловой активности. Использование бюджетной и денежно-кредитной политики для стимулирования совокупного спроса считается эффективным инструментом, позволяющим преодолеть кризисы и достичь полной занятости. При этом </w:t>
      </w:r>
      <w:proofErr w:type="spellStart"/>
      <w:r w:rsidRPr="00DC4855">
        <w:rPr>
          <w:rFonts w:asciiTheme="minorHAnsi" w:hAnsiTheme="minorHAnsi" w:cstheme="minorHAnsi"/>
        </w:rPr>
        <w:t>кейнсианцы</w:t>
      </w:r>
      <w:proofErr w:type="spellEnd"/>
      <w:r w:rsidRPr="00DC4855">
        <w:rPr>
          <w:rFonts w:asciiTheme="minorHAnsi" w:hAnsiTheme="minorHAnsi" w:cstheme="minorHAnsi"/>
        </w:rPr>
        <w:t xml:space="preserve"> признают, что рынок, оставленный сам по себе, может не справляться с корректировкой цен и заработных плат, и потому ставят во главу угла целевые государственные программы, направленные на поддержку внутреннего спроса, развитие инфраструктуры и социальную защиту.</w:t>
      </w:r>
    </w:p>
    <w:p w:rsidR="00DC4855" w:rsidRPr="00DC4855" w:rsidRDefault="00DC4855" w:rsidP="00DC4855">
      <w:pPr>
        <w:pStyle w:val="a3"/>
        <w:rPr>
          <w:rFonts w:asciiTheme="minorHAnsi" w:hAnsiTheme="minorHAnsi" w:cstheme="minorHAnsi"/>
        </w:rPr>
      </w:pPr>
      <w:r w:rsidRPr="00DC4855">
        <w:rPr>
          <w:rFonts w:asciiTheme="minorHAnsi" w:hAnsiTheme="minorHAnsi" w:cstheme="minorHAnsi"/>
        </w:rPr>
        <w:t xml:space="preserve">Неоклассическая же школа, корни которой уходят к работам таких экономистов, как Адам Смит и Давид </w:t>
      </w:r>
      <w:proofErr w:type="spellStart"/>
      <w:r w:rsidRPr="00DC4855">
        <w:rPr>
          <w:rFonts w:asciiTheme="minorHAnsi" w:hAnsiTheme="minorHAnsi" w:cstheme="minorHAnsi"/>
        </w:rPr>
        <w:t>Рикардо</w:t>
      </w:r>
      <w:proofErr w:type="spellEnd"/>
      <w:r w:rsidRPr="00DC4855">
        <w:rPr>
          <w:rFonts w:asciiTheme="minorHAnsi" w:hAnsiTheme="minorHAnsi" w:cstheme="minorHAnsi"/>
        </w:rPr>
        <w:t xml:space="preserve">, исходит из постулата о рациональности индивидов и гибкости цен, позволяющих рынкам очищаться и возвращаться к состоянию равновесия. В основе неоклассической теории лежит предположение о том, что рыночный механизм, ориентированный на конкуренцию и основанный на частной инициативе, способен </w:t>
      </w:r>
      <w:proofErr w:type="spellStart"/>
      <w:r w:rsidRPr="00DC4855">
        <w:rPr>
          <w:rFonts w:asciiTheme="minorHAnsi" w:hAnsiTheme="minorHAnsi" w:cstheme="minorHAnsi"/>
        </w:rPr>
        <w:t>саморегулироваться</w:t>
      </w:r>
      <w:proofErr w:type="spellEnd"/>
      <w:r w:rsidRPr="00DC4855">
        <w:rPr>
          <w:rFonts w:asciiTheme="minorHAnsi" w:hAnsiTheme="minorHAnsi" w:cstheme="minorHAnsi"/>
        </w:rPr>
        <w:t xml:space="preserve"> при условии, что цены, ставки процентов и зарплаты свободно приспосабливаются к изменениям в совокупном спросе и совокупном предложении. В неоклассической парадигме государственное вмешательство рассматривается с осторожностью, так как чрезмерная регулирующая деятельность может искажать рыночные сигналы, подавлять предпринимательскую активность и приводить к снижению эффективности распределения ресурсов. В итоге упор делается на развитие конкуренции, минимизацию барьеров и стимулирование технологических инноваций, которые способствуют устойчивому экономическому росту.</w:t>
      </w:r>
    </w:p>
    <w:p w:rsidR="00DC4855" w:rsidRPr="00DC4855" w:rsidRDefault="00DC4855" w:rsidP="00DC4855">
      <w:pPr>
        <w:pStyle w:val="a3"/>
        <w:rPr>
          <w:rFonts w:asciiTheme="minorHAnsi" w:hAnsiTheme="minorHAnsi" w:cstheme="minorHAnsi"/>
        </w:rPr>
      </w:pPr>
      <w:r w:rsidRPr="00DC4855">
        <w:rPr>
          <w:rFonts w:asciiTheme="minorHAnsi" w:hAnsiTheme="minorHAnsi" w:cstheme="minorHAnsi"/>
        </w:rPr>
        <w:t xml:space="preserve">Критический момент в сравнении кейнсианства и неоклассики заключается в разных подходах к проблеме неполной занятости. </w:t>
      </w:r>
      <w:proofErr w:type="spellStart"/>
      <w:r w:rsidRPr="00DC4855">
        <w:rPr>
          <w:rFonts w:asciiTheme="minorHAnsi" w:hAnsiTheme="minorHAnsi" w:cstheme="minorHAnsi"/>
        </w:rPr>
        <w:t>Кейнсианцы</w:t>
      </w:r>
      <w:proofErr w:type="spellEnd"/>
      <w:r w:rsidRPr="00DC4855">
        <w:rPr>
          <w:rFonts w:asciiTheme="minorHAnsi" w:hAnsiTheme="minorHAnsi" w:cstheme="minorHAnsi"/>
        </w:rPr>
        <w:t xml:space="preserve"> считают, что заработные платы и цены бывают “жесткими” и не всегда быстро корректируются, что затрудняет возвращение экономики к потенциальному уровню производства. В периоды спада фирмы могут не снижать цены до уровня, при котором спрос на продукцию восстановится, а рабочие могут сопротивляться снижению заработной платы, что усиливает риск долговременной безработицы. В то же время неоклассики полагают, что гибкие цены и зарплаты должны в долгосрочном периоде уравновешивать спрос и </w:t>
      </w:r>
      <w:r w:rsidRPr="00DC4855">
        <w:rPr>
          <w:rFonts w:asciiTheme="minorHAnsi" w:hAnsiTheme="minorHAnsi" w:cstheme="minorHAnsi"/>
        </w:rPr>
        <w:lastRenderedPageBreak/>
        <w:t>предложение на рынках, устраняя избыточную безработицу. На практике, однако, обе школы сталкиваются с ситуациями, где применимость этих предположений может быть ограничена институциональными факторами, психологией участников рынка и информационной асимметрией.</w:t>
      </w:r>
    </w:p>
    <w:p w:rsidR="00DC4855" w:rsidRPr="00DC4855" w:rsidRDefault="00DC4855" w:rsidP="00DC4855">
      <w:pPr>
        <w:pStyle w:val="a3"/>
        <w:rPr>
          <w:rFonts w:asciiTheme="minorHAnsi" w:hAnsiTheme="minorHAnsi" w:cstheme="minorHAnsi"/>
        </w:rPr>
      </w:pPr>
      <w:r w:rsidRPr="00DC4855">
        <w:rPr>
          <w:rFonts w:asciiTheme="minorHAnsi" w:hAnsiTheme="minorHAnsi" w:cstheme="minorHAnsi"/>
        </w:rPr>
        <w:t>Еще одним важным аспектом сравнения выступает роль ожиданий. Кейнсианская традиция уделяет существенное внимание “живой” реакции людей на экономическую политику и внешние шоки, ссылаясь на эффект мультипликатора: правительственные расходы могут стимулировать общую деловую активность, которая, в свою очередь, подкрепляется ростом потребительских расходов. Неоклассическая школа, особенно в современных интерпретациях, подчеркивает рациональные ожидания агентов, которые стремятся прогнозировать будущее развитие событий на основе всей доступной информации. С точки зрения такой модели, попытки государства искусственно стимулировать экономику могут обернуться ускорением инфляции или другими побочными эффектами, если частный сектор в своих решениях уже учел ожидаемые меры политики.</w:t>
      </w:r>
    </w:p>
    <w:p w:rsidR="00DC4855" w:rsidRPr="00DC4855" w:rsidRDefault="00DC4855" w:rsidP="00DC4855">
      <w:pPr>
        <w:pStyle w:val="a3"/>
        <w:rPr>
          <w:rFonts w:asciiTheme="minorHAnsi" w:hAnsiTheme="minorHAnsi" w:cstheme="minorHAnsi"/>
        </w:rPr>
      </w:pPr>
      <w:r w:rsidRPr="00DC4855">
        <w:rPr>
          <w:rFonts w:asciiTheme="minorHAnsi" w:hAnsiTheme="minorHAnsi" w:cstheme="minorHAnsi"/>
        </w:rPr>
        <w:t xml:space="preserve">С течением времени обе теории эволюционировали и частично сближались. </w:t>
      </w:r>
      <w:proofErr w:type="spellStart"/>
      <w:r w:rsidRPr="00DC4855">
        <w:rPr>
          <w:rFonts w:asciiTheme="minorHAnsi" w:hAnsiTheme="minorHAnsi" w:cstheme="minorHAnsi"/>
        </w:rPr>
        <w:t>Кейнсианцы</w:t>
      </w:r>
      <w:proofErr w:type="spellEnd"/>
      <w:r w:rsidRPr="00DC4855">
        <w:rPr>
          <w:rFonts w:asciiTheme="minorHAnsi" w:hAnsiTheme="minorHAnsi" w:cstheme="minorHAnsi"/>
        </w:rPr>
        <w:t xml:space="preserve"> приняли во внимание влияние инфляции и разработали </w:t>
      </w:r>
      <w:proofErr w:type="spellStart"/>
      <w:r w:rsidRPr="00DC4855">
        <w:rPr>
          <w:rFonts w:asciiTheme="minorHAnsi" w:hAnsiTheme="minorHAnsi" w:cstheme="minorHAnsi"/>
        </w:rPr>
        <w:t>неокейнсианские</w:t>
      </w:r>
      <w:proofErr w:type="spellEnd"/>
      <w:r w:rsidRPr="00DC4855">
        <w:rPr>
          <w:rFonts w:asciiTheme="minorHAnsi" w:hAnsiTheme="minorHAnsi" w:cstheme="minorHAnsi"/>
        </w:rPr>
        <w:t xml:space="preserve"> модели, учитывающие микроэкономические обоснования “жесткости” цен и заработных плат. Неоклассики, в свою очередь, признали, что институциональные особенности и ограничения ликвидности могут существенным образом влиять на процессы в экономике, а государство способно играть роль в создании благоприятных условий для развития рынков. В результате современный экономический </w:t>
      </w:r>
      <w:proofErr w:type="spellStart"/>
      <w:r w:rsidRPr="00DC4855">
        <w:rPr>
          <w:rFonts w:asciiTheme="minorHAnsi" w:hAnsiTheme="minorHAnsi" w:cstheme="minorHAnsi"/>
        </w:rPr>
        <w:t>мейнстрим</w:t>
      </w:r>
      <w:proofErr w:type="spellEnd"/>
      <w:r w:rsidRPr="00DC4855">
        <w:rPr>
          <w:rFonts w:asciiTheme="minorHAnsi" w:hAnsiTheme="minorHAnsi" w:cstheme="minorHAnsi"/>
        </w:rPr>
        <w:t xml:space="preserve"> объединяет элементы обеих школ, предлагая гибридные модели, где государственная политика играет роль стабилизатора в коротком периоде, а свободный рынок, поддерживаемый эффективными институтами, рассматривается как фактор, обеспечивающий рост и благополучие в долгосрочной перспективе.</w:t>
      </w:r>
    </w:p>
    <w:p w:rsidR="00DC4855" w:rsidRPr="00DC4855" w:rsidRDefault="00DC4855" w:rsidP="00DC4855">
      <w:pPr>
        <w:pStyle w:val="a3"/>
        <w:rPr>
          <w:rFonts w:asciiTheme="minorHAnsi" w:hAnsiTheme="minorHAnsi" w:cstheme="minorHAnsi"/>
        </w:rPr>
      </w:pPr>
      <w:r w:rsidRPr="00DC4855">
        <w:rPr>
          <w:rFonts w:asciiTheme="minorHAnsi" w:hAnsiTheme="minorHAnsi" w:cstheme="minorHAnsi"/>
        </w:rPr>
        <w:t xml:space="preserve">Таким образом, кейнсианская и неоклассическая экономические теории предлагают различные ответы на вопрос о том, как работает рыночная система и каковы оптимальные инструменты экономической политики. </w:t>
      </w:r>
      <w:proofErr w:type="spellStart"/>
      <w:r w:rsidRPr="00DC4855">
        <w:rPr>
          <w:rFonts w:asciiTheme="minorHAnsi" w:hAnsiTheme="minorHAnsi" w:cstheme="minorHAnsi"/>
        </w:rPr>
        <w:t>Кейнсианцы</w:t>
      </w:r>
      <w:proofErr w:type="spellEnd"/>
      <w:r w:rsidRPr="00DC4855">
        <w:rPr>
          <w:rFonts w:asciiTheme="minorHAnsi" w:hAnsiTheme="minorHAnsi" w:cstheme="minorHAnsi"/>
        </w:rPr>
        <w:t xml:space="preserve"> акцентируют важность совокупного спроса и государственного вмешательства в периоды кризисов, тогда как неоклассики делают ставку на механизм </w:t>
      </w:r>
      <w:proofErr w:type="spellStart"/>
      <w:r w:rsidRPr="00DC4855">
        <w:rPr>
          <w:rFonts w:asciiTheme="minorHAnsi" w:hAnsiTheme="minorHAnsi" w:cstheme="minorHAnsi"/>
        </w:rPr>
        <w:t>саморегуляции</w:t>
      </w:r>
      <w:proofErr w:type="spellEnd"/>
      <w:r w:rsidRPr="00DC4855">
        <w:rPr>
          <w:rFonts w:asciiTheme="minorHAnsi" w:hAnsiTheme="minorHAnsi" w:cstheme="minorHAnsi"/>
        </w:rPr>
        <w:t xml:space="preserve"> и минимизацию барьеров для конкуренции. На практике каждое направление имеет свои сильные и слабые стороны, и выбор конкретных мер нередко зависит не только от теоретических убеждений, но и от политических условий, социальной структуры и особенностей институциональной среды в конкретной стране. Постоянное взаимодействие и взаимовлияние данных школ продолжает формировать современную экономическую науку, обогащая инструментарий и способствуя более полному пониманию сложных процессов, которые определяют благосостояние общества.</w:t>
      </w:r>
      <w:bookmarkEnd w:id="0"/>
    </w:p>
    <w:sectPr w:rsidR="00DC4855" w:rsidRPr="00DC48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64C"/>
    <w:rsid w:val="00AE164C"/>
    <w:rsid w:val="00DC4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A63E3"/>
  <w15:chartTrackingRefBased/>
  <w15:docId w15:val="{8C5FB736-8064-4E1E-952A-835B5C62C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C48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485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C48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401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895</Words>
  <Characters>5106</Characters>
  <Application>Microsoft Office Word</Application>
  <DocSecurity>0</DocSecurity>
  <Lines>42</Lines>
  <Paragraphs>11</Paragraphs>
  <ScaleCrop>false</ScaleCrop>
  <Company/>
  <LinksUpToDate>false</LinksUpToDate>
  <CharactersWithSpaces>5990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2025-03-10T16:19:00Z</dcterms:created>
  <dcterms:modified xsi:type="dcterms:W3CDTF">2025-03-10T16:22:00Z</dcterms:modified>
</cp:coreProperties>
</file>