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0477B" w:rsidRDefault="0029671B" w:rsidP="0029671B">
      <w:pPr>
        <w:pStyle w:val="1"/>
        <w:jc w:val="center"/>
      </w:pPr>
      <w:r w:rsidRPr="0029671B">
        <w:t>Налогообложение в условиях глобализации</w:t>
      </w:r>
      <w:r>
        <w:t>:</w:t>
      </w:r>
      <w:r w:rsidRPr="0029671B">
        <w:t xml:space="preserve"> вызовы и возможности для национальных экономик</w:t>
      </w:r>
    </w:p>
    <w:p w:rsidR="0029671B" w:rsidRDefault="0029671B" w:rsidP="0029671B"/>
    <w:p w:rsidR="0029671B" w:rsidRPr="0029671B" w:rsidRDefault="0029671B" w:rsidP="0029671B">
      <w:pPr>
        <w:pStyle w:val="a3"/>
        <w:rPr>
          <w:rFonts w:asciiTheme="minorHAnsi" w:hAnsiTheme="minorHAnsi" w:cstheme="minorHAnsi"/>
        </w:rPr>
      </w:pPr>
      <w:bookmarkStart w:id="0" w:name="_GoBack"/>
      <w:r w:rsidRPr="0029671B">
        <w:rPr>
          <w:rFonts w:asciiTheme="minorHAnsi" w:hAnsiTheme="minorHAnsi" w:cstheme="minorHAnsi"/>
        </w:rPr>
        <w:t>Налогообложение в условиях глобализации становится всё более сложной и многогранной сферой, в которой сталкиваются интересы национальных государств, транснациональных корпораций и международных институтов. Процессы глобализации, сопровождаемые быстрым развитием цифровой экономики, либерализацией рынков капитала и активным перемещением товаров, услуг и рабочей силы, создают как новые возможности для экономического роста, так и серьёзные вызовы для налоговых систем. Одной из важнейших задач современного государства становится обеспечение справедливого, стабильного и эффективного налогообложения при одновременном сохранении привлекательности своей юрисдикции для инвестиций и бизнеса.</w:t>
      </w:r>
    </w:p>
    <w:p w:rsidR="0029671B" w:rsidRPr="0029671B" w:rsidRDefault="0029671B" w:rsidP="0029671B">
      <w:pPr>
        <w:pStyle w:val="a3"/>
        <w:rPr>
          <w:rFonts w:asciiTheme="minorHAnsi" w:hAnsiTheme="minorHAnsi" w:cstheme="minorHAnsi"/>
        </w:rPr>
      </w:pPr>
      <w:r w:rsidRPr="0029671B">
        <w:rPr>
          <w:rFonts w:asciiTheme="minorHAnsi" w:hAnsiTheme="minorHAnsi" w:cstheme="minorHAnsi"/>
        </w:rPr>
        <w:t>Одним из ключевых вызовов глобализации является растущая мобильность капитала и производственных мощностей. Транснациональные корпорации всё чаще используют возможности перемещать прибыль в юрисдикции с низкими ставками налогообложения или более мягким регулированием. Такие практики, известные как агрессивное налоговое планирование и трансфертное ценообразование, приводят к эрозии налоговой базы и сокращению доходов бюджета. Особенно остро эта проблема стоит для развивающихся стран, бюджеты которых во многом зависят от налогов на прибыль крупных международных компаний. В ответ на эти вызовы страны вынуждены усиливать контроль за трансграничными операциями, совершенствовать налоговое администрирование и участвовать в многосторонних инициативах по борьбе с уклонением от уплаты налогов.</w:t>
      </w:r>
    </w:p>
    <w:p w:rsidR="0029671B" w:rsidRPr="0029671B" w:rsidRDefault="0029671B" w:rsidP="0029671B">
      <w:pPr>
        <w:pStyle w:val="a3"/>
        <w:rPr>
          <w:rFonts w:asciiTheme="minorHAnsi" w:hAnsiTheme="minorHAnsi" w:cstheme="minorHAnsi"/>
        </w:rPr>
      </w:pPr>
      <w:r w:rsidRPr="0029671B">
        <w:rPr>
          <w:rFonts w:asciiTheme="minorHAnsi" w:hAnsiTheme="minorHAnsi" w:cstheme="minorHAnsi"/>
        </w:rPr>
        <w:t>Международное сообщество придаёт большое значение вопросам налоговой прозрачности и обмена информацией. Одним из ключевых шагов стало принятие пакета мер BEPS (</w:t>
      </w:r>
      <w:proofErr w:type="spellStart"/>
      <w:r w:rsidRPr="0029671B">
        <w:rPr>
          <w:rFonts w:asciiTheme="minorHAnsi" w:hAnsiTheme="minorHAnsi" w:cstheme="minorHAnsi"/>
        </w:rPr>
        <w:t>Base</w:t>
      </w:r>
      <w:proofErr w:type="spellEnd"/>
      <w:r w:rsidRPr="0029671B">
        <w:rPr>
          <w:rFonts w:asciiTheme="minorHAnsi" w:hAnsiTheme="minorHAnsi" w:cstheme="minorHAnsi"/>
        </w:rPr>
        <w:t xml:space="preserve"> </w:t>
      </w:r>
      <w:proofErr w:type="spellStart"/>
      <w:r w:rsidRPr="0029671B">
        <w:rPr>
          <w:rFonts w:asciiTheme="minorHAnsi" w:hAnsiTheme="minorHAnsi" w:cstheme="minorHAnsi"/>
        </w:rPr>
        <w:t>Erosion</w:t>
      </w:r>
      <w:proofErr w:type="spellEnd"/>
      <w:r w:rsidRPr="0029671B">
        <w:rPr>
          <w:rFonts w:asciiTheme="minorHAnsi" w:hAnsiTheme="minorHAnsi" w:cstheme="minorHAnsi"/>
        </w:rPr>
        <w:t xml:space="preserve"> </w:t>
      </w:r>
      <w:proofErr w:type="spellStart"/>
      <w:r w:rsidRPr="0029671B">
        <w:rPr>
          <w:rFonts w:asciiTheme="minorHAnsi" w:hAnsiTheme="minorHAnsi" w:cstheme="minorHAnsi"/>
        </w:rPr>
        <w:t>and</w:t>
      </w:r>
      <w:proofErr w:type="spellEnd"/>
      <w:r w:rsidRPr="0029671B">
        <w:rPr>
          <w:rFonts w:asciiTheme="minorHAnsi" w:hAnsiTheme="minorHAnsi" w:cstheme="minorHAnsi"/>
        </w:rPr>
        <w:t xml:space="preserve"> </w:t>
      </w:r>
      <w:proofErr w:type="spellStart"/>
      <w:r w:rsidRPr="0029671B">
        <w:rPr>
          <w:rFonts w:asciiTheme="minorHAnsi" w:hAnsiTheme="minorHAnsi" w:cstheme="minorHAnsi"/>
        </w:rPr>
        <w:t>Profit</w:t>
      </w:r>
      <w:proofErr w:type="spellEnd"/>
      <w:r w:rsidRPr="0029671B">
        <w:rPr>
          <w:rFonts w:asciiTheme="minorHAnsi" w:hAnsiTheme="minorHAnsi" w:cstheme="minorHAnsi"/>
        </w:rPr>
        <w:t xml:space="preserve"> </w:t>
      </w:r>
      <w:proofErr w:type="spellStart"/>
      <w:r w:rsidRPr="0029671B">
        <w:rPr>
          <w:rFonts w:asciiTheme="minorHAnsi" w:hAnsiTheme="minorHAnsi" w:cstheme="minorHAnsi"/>
        </w:rPr>
        <w:t>Shifting</w:t>
      </w:r>
      <w:proofErr w:type="spellEnd"/>
      <w:r w:rsidRPr="0029671B">
        <w:rPr>
          <w:rFonts w:asciiTheme="minorHAnsi" w:hAnsiTheme="minorHAnsi" w:cstheme="minorHAnsi"/>
        </w:rPr>
        <w:t>), разработанного Организацией экономического сотрудничества и развития. Он включает рекомендации по предотвращению размывания налоговой базы и вывода прибыли в офшоры, требует от компаний раскрывать информацию о своей деятельности в разрезе стран и обосновывать ценообразование во внутригрупповых операциях. Введение автоматического обмена налоговой информацией по стандартам CRS позволило налоговым органам более эффективно отслеживать финансовые потоки и выявлять случаи ухода от налогов. Такие меры создают новые возможности для укрепления финансовой устойчивости национальных экономик и восстановления доверия к налоговым системам.</w:t>
      </w:r>
    </w:p>
    <w:p w:rsidR="0029671B" w:rsidRPr="0029671B" w:rsidRDefault="0029671B" w:rsidP="0029671B">
      <w:pPr>
        <w:pStyle w:val="a3"/>
        <w:rPr>
          <w:rFonts w:asciiTheme="minorHAnsi" w:hAnsiTheme="minorHAnsi" w:cstheme="minorHAnsi"/>
        </w:rPr>
      </w:pPr>
      <w:r w:rsidRPr="0029671B">
        <w:rPr>
          <w:rFonts w:asciiTheme="minorHAnsi" w:hAnsiTheme="minorHAnsi" w:cstheme="minorHAnsi"/>
        </w:rPr>
        <w:t>Однако глобализация приносит не только вызовы, но и значительные возможности. Снижение торговых барьеров и развитие цифровых технологий открывают странам доступ к новым рынкам и источникам доходов. Электронная коммерция, дистанционные услуги и цифровые платформы создают новые налоговые базы, которые при правильном регулировании могут стать важными источниками поступлений в бюджет. Вместе с тем налоговые системы должны адаптироваться к этим изменениям. Например, традиционные подходы к определению места налогообложения и присутствия компании в стране уже не соответствуют реалиям цифровой экономики, когда компания может оказывать услуги в другой юрисдикции без физического присутствия.</w:t>
      </w:r>
    </w:p>
    <w:p w:rsidR="0029671B" w:rsidRPr="0029671B" w:rsidRDefault="0029671B" w:rsidP="0029671B">
      <w:pPr>
        <w:pStyle w:val="a3"/>
        <w:rPr>
          <w:rFonts w:asciiTheme="minorHAnsi" w:hAnsiTheme="minorHAnsi" w:cstheme="minorHAnsi"/>
        </w:rPr>
      </w:pPr>
      <w:r w:rsidRPr="0029671B">
        <w:rPr>
          <w:rFonts w:asciiTheme="minorHAnsi" w:hAnsiTheme="minorHAnsi" w:cstheme="minorHAnsi"/>
        </w:rPr>
        <w:lastRenderedPageBreak/>
        <w:t>Решение этих вопросов потребовало разработки принципиально новых подходов, включая концепцию налогообложения значительного цифрового присутствия и введение цифровых налогов. Некоторые страны, включая Францию, Великобританию и Италию, уже ввели специальные налоги на доходы крупных технологических компаний. Это вызвало дискуссии о рисках двойного налогообложения и необходимости согласованных международных правил. Сложность заключается в том, чтобы найти баланс между правами стран на взимание налогов и недопущением создания барьеров для трансграничной торговли и инвестиций.</w:t>
      </w:r>
    </w:p>
    <w:p w:rsidR="0029671B" w:rsidRPr="0029671B" w:rsidRDefault="0029671B" w:rsidP="0029671B">
      <w:pPr>
        <w:pStyle w:val="a3"/>
        <w:rPr>
          <w:rFonts w:asciiTheme="minorHAnsi" w:hAnsiTheme="minorHAnsi" w:cstheme="minorHAnsi"/>
        </w:rPr>
      </w:pPr>
      <w:r w:rsidRPr="0029671B">
        <w:rPr>
          <w:rFonts w:asciiTheme="minorHAnsi" w:hAnsiTheme="minorHAnsi" w:cstheme="minorHAnsi"/>
        </w:rPr>
        <w:t>Важнейшей задачей становится поддержание конкурентоспособности налоговых систем в условиях глобальной конкуренции за инвестиции. Снижение ставок корпоративного налога, введение налоговых льгот и специальных режимов часто используются странами для привлечения капитала. Однако налоговая конкуренция может приводить к «гонке на понижение», когда страны вынуждены последовательно снижать налоговую нагрузку, что подрывает возможности финансирования социальных и инфраструктурных расходов. В этих условиях возрастает роль согласованных мер и минимальных налоговых стандартов. Например, соглашение о глобальном минимальном налоге на прибыль корпораций, которое поддержали более 130 стран, предполагает установление минимального уровня налогообложения, чтобы исключить возможность использования офшорных юрисдикций для уклонения от налогов.</w:t>
      </w:r>
    </w:p>
    <w:p w:rsidR="0029671B" w:rsidRPr="0029671B" w:rsidRDefault="0029671B" w:rsidP="0029671B">
      <w:pPr>
        <w:pStyle w:val="a3"/>
        <w:rPr>
          <w:rFonts w:asciiTheme="minorHAnsi" w:hAnsiTheme="minorHAnsi" w:cstheme="minorHAnsi"/>
        </w:rPr>
      </w:pPr>
      <w:r w:rsidRPr="0029671B">
        <w:rPr>
          <w:rFonts w:asciiTheme="minorHAnsi" w:hAnsiTheme="minorHAnsi" w:cstheme="minorHAnsi"/>
        </w:rPr>
        <w:t>Налогообложение в условиях глобализации связано и с вопросами социальной справедливости. Высокая мобильность капитала контрастирует с ограниченной мобильностью рабочей силы и малого бизнеса, на которых зачастую ложится основное налоговое бремя. Это обостряет проблемы неравенства и вызывает недовольство населения. Поэтому важнейшей задачей налоговой политики становится обеспечение справедливого распределения налоговой нагрузки и формирование прогрессивных элементов в системе налогообложения, в том числе за счёт более эффективного налогообложения крупных транснациональных корпораций и владельцев значительного капитала.</w:t>
      </w:r>
    </w:p>
    <w:p w:rsidR="0029671B" w:rsidRPr="0029671B" w:rsidRDefault="0029671B" w:rsidP="0029671B">
      <w:pPr>
        <w:pStyle w:val="a3"/>
        <w:rPr>
          <w:rFonts w:asciiTheme="minorHAnsi" w:hAnsiTheme="minorHAnsi" w:cstheme="minorHAnsi"/>
        </w:rPr>
      </w:pPr>
      <w:r w:rsidRPr="0029671B">
        <w:rPr>
          <w:rFonts w:asciiTheme="minorHAnsi" w:hAnsiTheme="minorHAnsi" w:cstheme="minorHAnsi"/>
        </w:rPr>
        <w:t>Глобализация также стимулирует развитие многостороннего сотрудничества и обмена лучшими практиками в налоговой сфере. Страны всё чаще обмениваются опытом по автоматизации налогового администрирования, внедрению электронных сервисов для налогоплательщиков, развитию аналитики больших данных для выявления рисков и прогнозирования поступлений. Это создаёт возможности для повышения эффективности налоговых органов и снижения административных издержек для бизнеса.</w:t>
      </w:r>
    </w:p>
    <w:p w:rsidR="0029671B" w:rsidRPr="0029671B" w:rsidRDefault="0029671B" w:rsidP="0029671B">
      <w:pPr>
        <w:pStyle w:val="a3"/>
        <w:rPr>
          <w:rFonts w:asciiTheme="minorHAnsi" w:hAnsiTheme="minorHAnsi" w:cstheme="minorHAnsi"/>
        </w:rPr>
      </w:pPr>
      <w:r w:rsidRPr="0029671B">
        <w:rPr>
          <w:rFonts w:asciiTheme="minorHAnsi" w:hAnsiTheme="minorHAnsi" w:cstheme="minorHAnsi"/>
        </w:rPr>
        <w:t xml:space="preserve">Таким образом, налогообложение в условиях глобализации представляет собой сложное взаимодействие вызовов и возможностей. Оно требует от государств гибкости, способности к международному сотрудничеству и разработки новых инструментов регулирования. Успех налоговой политики в современном мире зависит от того, насколько государствам удастся сохранить баланс между привлечением инвестиций, защитой национальных интересов, обеспечением социальной справедливости и эффективностью администрирования. В ближайшие десятилетия глобализация и </w:t>
      </w:r>
      <w:proofErr w:type="spellStart"/>
      <w:r w:rsidRPr="0029671B">
        <w:rPr>
          <w:rFonts w:asciiTheme="minorHAnsi" w:hAnsiTheme="minorHAnsi" w:cstheme="minorHAnsi"/>
        </w:rPr>
        <w:t>цифровизация</w:t>
      </w:r>
      <w:proofErr w:type="spellEnd"/>
      <w:r w:rsidRPr="0029671B">
        <w:rPr>
          <w:rFonts w:asciiTheme="minorHAnsi" w:hAnsiTheme="minorHAnsi" w:cstheme="minorHAnsi"/>
        </w:rPr>
        <w:t xml:space="preserve"> экономики будут только усиливаться, а значит, вопросы налогообложения останутся в центре внимания как государств, так и международных организаций, определяя устойчивость и справедливость мировой экономической системы.</w:t>
      </w:r>
      <w:bookmarkEnd w:id="0"/>
    </w:p>
    <w:sectPr w:rsidR="0029671B" w:rsidRPr="0029671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477B"/>
    <w:rsid w:val="0029671B"/>
    <w:rsid w:val="00E047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3E86B9"/>
  <w15:chartTrackingRefBased/>
  <w15:docId w15:val="{7C2A0336-55E7-478F-8022-EB1F838643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29671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9671B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3">
    <w:name w:val="Normal (Web)"/>
    <w:basedOn w:val="a"/>
    <w:uiPriority w:val="99"/>
    <w:unhideWhenUsed/>
    <w:rsid w:val="002967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6607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949</Words>
  <Characters>5410</Characters>
  <Application>Microsoft Office Word</Application>
  <DocSecurity>0</DocSecurity>
  <Lines>45</Lines>
  <Paragraphs>12</Paragraphs>
  <ScaleCrop>false</ScaleCrop>
  <Company/>
  <LinksUpToDate>false</LinksUpToDate>
  <CharactersWithSpaces>6347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2025-07-07T12:17:00Z</dcterms:created>
  <dcterms:modified xsi:type="dcterms:W3CDTF">2025-07-07T12:18:00Z</dcterms:modified>
</cp:coreProperties>
</file>